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jc w:val="center"/>
              <w:rPr>
                <w:rFonts w:hint="default" w:hAnsi="宋体"/>
                <w:sz w:val="28"/>
                <w:szCs w:val="28"/>
                <w:lang w:val="en-US" w:eastAsia="zh-CN"/>
              </w:rPr>
            </w:pPr>
            <w:r>
              <w:rPr>
                <w:rFonts w:hint="eastAsia" w:hAnsi="宋体"/>
                <w:sz w:val="28"/>
                <w:szCs w:val="28"/>
                <w:lang w:val="en-US" w:eastAsia="zh-CN"/>
              </w:rPr>
              <w:t>LSZHQ2024007</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4"/>
                <w:szCs w:val="24"/>
                <w:lang w:val="en-US" w:eastAsia="zh-CN"/>
              </w:rPr>
              <w:t>西边大仓库电动卷帘门项目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包工包料包售后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7天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.验收标准:卷帘门表面无划痕、无明显色差，无明显卷边等缺陷。卷帘门上接部分坚固，无松动现象。卷帘门滑轮、导轨及其他关键部件坚固正常，无异响现象。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货到安装完毕，调试正常运行验收合格一次性付清全款。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7000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78C8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2024-04-11T07:24:51Z</dcterms:created>
  <dc:creator>Administrator</dc:creator>
  <cp:lastModifiedBy>马东璠</cp:lastModifiedBy>
  <dcterms:modified xsi:type="dcterms:W3CDTF">2024-04-11T07:25:09Z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A5D76733F1A0405CB83796EA846ACACA_12</vt:lpwstr>
  </property>
</Properties>
</file>