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46355">
      <w:pPr>
        <w:numPr>
          <w:ilvl w:val="0"/>
          <w:numId w:val="0"/>
        </w:num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附件2：项目需求</w:t>
      </w:r>
    </w:p>
    <w:p w14:paraId="459F7C1B">
      <w:pPr>
        <w:numPr>
          <w:ilvl w:val="0"/>
          <w:numId w:val="0"/>
        </w:numPr>
        <w:ind w:firstLine="960" w:firstLineChars="3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一、需求清单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"/>
        <w:gridCol w:w="1825"/>
        <w:gridCol w:w="1434"/>
        <w:gridCol w:w="1896"/>
        <w:gridCol w:w="471"/>
        <w:gridCol w:w="471"/>
        <w:gridCol w:w="3537"/>
      </w:tblGrid>
      <w:tr w14:paraId="4607F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02" w:type="dxa"/>
            <w:noWrap w:val="0"/>
            <w:vAlign w:val="center"/>
          </w:tcPr>
          <w:p w14:paraId="409F73B3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25" w:type="dxa"/>
            <w:noWrap w:val="0"/>
            <w:vAlign w:val="center"/>
          </w:tcPr>
          <w:p w14:paraId="5AC9CB20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434" w:type="dxa"/>
            <w:noWrap w:val="0"/>
            <w:vAlign w:val="center"/>
          </w:tcPr>
          <w:p w14:paraId="425F13B7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896" w:type="dxa"/>
            <w:noWrap w:val="0"/>
            <w:vAlign w:val="center"/>
          </w:tcPr>
          <w:p w14:paraId="50D01971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参数/外型尺寸</w:t>
            </w:r>
          </w:p>
        </w:tc>
        <w:tc>
          <w:tcPr>
            <w:tcW w:w="471" w:type="dxa"/>
            <w:noWrap w:val="0"/>
            <w:vAlign w:val="center"/>
          </w:tcPr>
          <w:p w14:paraId="7D5BEE42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471" w:type="dxa"/>
            <w:noWrap w:val="0"/>
            <w:vAlign w:val="center"/>
          </w:tcPr>
          <w:p w14:paraId="78260939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3537" w:type="dxa"/>
            <w:noWrap w:val="0"/>
            <w:vAlign w:val="center"/>
          </w:tcPr>
          <w:p w14:paraId="793927FB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9895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402" w:type="dxa"/>
            <w:noWrap w:val="0"/>
            <w:vAlign w:val="center"/>
          </w:tcPr>
          <w:p w14:paraId="3FA8C2ED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25" w:type="dxa"/>
            <w:noWrap w:val="0"/>
            <w:vAlign w:val="center"/>
          </w:tcPr>
          <w:p w14:paraId="04A546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恒压变频控制柜</w:t>
            </w:r>
          </w:p>
        </w:tc>
        <w:tc>
          <w:tcPr>
            <w:tcW w:w="1434" w:type="dxa"/>
            <w:noWrap w:val="0"/>
            <w:vAlign w:val="center"/>
          </w:tcPr>
          <w:p w14:paraId="7B7566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4M-15</w:t>
            </w:r>
          </w:p>
        </w:tc>
        <w:tc>
          <w:tcPr>
            <w:tcW w:w="1896" w:type="dxa"/>
            <w:noWrap w:val="0"/>
            <w:vAlign w:val="center"/>
          </w:tcPr>
          <w:p w14:paraId="22138344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1800*800*500</w:t>
            </w:r>
          </w:p>
        </w:tc>
        <w:tc>
          <w:tcPr>
            <w:tcW w:w="471" w:type="dxa"/>
            <w:noWrap w:val="0"/>
            <w:vAlign w:val="center"/>
          </w:tcPr>
          <w:p w14:paraId="54AC3804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71" w:type="dxa"/>
            <w:noWrap w:val="0"/>
            <w:vAlign w:val="center"/>
          </w:tcPr>
          <w:p w14:paraId="6580DC1D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3537" w:type="dxa"/>
            <w:noWrap w:val="0"/>
            <w:vAlign w:val="center"/>
          </w:tcPr>
          <w:p w14:paraId="26B863E2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304不锈钢材质箱体，380V工作电压，驱动</w:t>
            </w: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采用ABB-ACS510及以上系列变频控制器，西门子PLC控制模块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，西门子10寸宽屏触摸屏，施耐德电器元器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</w:tr>
      <w:tr w14:paraId="021C9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02" w:type="dxa"/>
            <w:noWrap w:val="0"/>
            <w:vAlign w:val="center"/>
          </w:tcPr>
          <w:p w14:paraId="12DB2BB8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25" w:type="dxa"/>
            <w:noWrap w:val="0"/>
            <w:vAlign w:val="center"/>
          </w:tcPr>
          <w:p w14:paraId="66E7F41D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电缆</w:t>
            </w:r>
          </w:p>
        </w:tc>
        <w:tc>
          <w:tcPr>
            <w:tcW w:w="1434" w:type="dxa"/>
            <w:noWrap w:val="0"/>
            <w:vAlign w:val="center"/>
          </w:tcPr>
          <w:p w14:paraId="0BE4C8F8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4*10</w:t>
            </w:r>
          </w:p>
        </w:tc>
        <w:tc>
          <w:tcPr>
            <w:tcW w:w="1896" w:type="dxa"/>
            <w:noWrap w:val="0"/>
            <w:vAlign w:val="center"/>
          </w:tcPr>
          <w:p w14:paraId="0FAF6A4B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" w:type="dxa"/>
            <w:noWrap w:val="0"/>
            <w:vAlign w:val="center"/>
          </w:tcPr>
          <w:p w14:paraId="658A96D5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471" w:type="dxa"/>
            <w:noWrap w:val="0"/>
            <w:vAlign w:val="center"/>
          </w:tcPr>
          <w:p w14:paraId="447DF3E3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3537" w:type="dxa"/>
            <w:noWrap w:val="0"/>
            <w:vAlign w:val="center"/>
          </w:tcPr>
          <w:p w14:paraId="151C243A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96A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02" w:type="dxa"/>
            <w:noWrap w:val="0"/>
            <w:vAlign w:val="center"/>
          </w:tcPr>
          <w:p w14:paraId="2E29C053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25" w:type="dxa"/>
            <w:noWrap w:val="0"/>
            <w:vAlign w:val="center"/>
          </w:tcPr>
          <w:p w14:paraId="52840DD8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电缆</w:t>
            </w:r>
          </w:p>
        </w:tc>
        <w:tc>
          <w:tcPr>
            <w:tcW w:w="1434" w:type="dxa"/>
            <w:noWrap w:val="0"/>
            <w:vAlign w:val="center"/>
          </w:tcPr>
          <w:p w14:paraId="5E107C08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4*50+1*25</w:t>
            </w:r>
          </w:p>
        </w:tc>
        <w:tc>
          <w:tcPr>
            <w:tcW w:w="1896" w:type="dxa"/>
            <w:noWrap w:val="0"/>
            <w:vAlign w:val="center"/>
          </w:tcPr>
          <w:p w14:paraId="5D672DB9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" w:type="dxa"/>
            <w:noWrap w:val="0"/>
            <w:vAlign w:val="center"/>
          </w:tcPr>
          <w:p w14:paraId="0C7A43EF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71" w:type="dxa"/>
            <w:noWrap w:val="0"/>
            <w:vAlign w:val="center"/>
          </w:tcPr>
          <w:p w14:paraId="05F7E99C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3537" w:type="dxa"/>
            <w:noWrap w:val="0"/>
            <w:vAlign w:val="center"/>
          </w:tcPr>
          <w:p w14:paraId="4DB94805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57F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02" w:type="dxa"/>
            <w:noWrap w:val="0"/>
            <w:vAlign w:val="center"/>
          </w:tcPr>
          <w:p w14:paraId="32454FE2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25" w:type="dxa"/>
            <w:noWrap w:val="0"/>
            <w:vAlign w:val="center"/>
          </w:tcPr>
          <w:p w14:paraId="6DCECD53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铜线鼻</w:t>
            </w:r>
          </w:p>
        </w:tc>
        <w:tc>
          <w:tcPr>
            <w:tcW w:w="1434" w:type="dxa"/>
            <w:noWrap w:val="0"/>
            <w:vAlign w:val="center"/>
          </w:tcPr>
          <w:p w14:paraId="7347C092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896" w:type="dxa"/>
            <w:noWrap w:val="0"/>
            <w:vAlign w:val="center"/>
          </w:tcPr>
          <w:p w14:paraId="32AC7467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" w:type="dxa"/>
            <w:noWrap w:val="0"/>
            <w:vAlign w:val="center"/>
          </w:tcPr>
          <w:p w14:paraId="104FA381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471" w:type="dxa"/>
            <w:noWrap w:val="0"/>
            <w:vAlign w:val="center"/>
          </w:tcPr>
          <w:p w14:paraId="58FD12F0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只</w:t>
            </w:r>
          </w:p>
        </w:tc>
        <w:tc>
          <w:tcPr>
            <w:tcW w:w="3537" w:type="dxa"/>
            <w:noWrap w:val="0"/>
            <w:vAlign w:val="center"/>
          </w:tcPr>
          <w:p w14:paraId="58A7D42E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197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02" w:type="dxa"/>
            <w:noWrap w:val="0"/>
            <w:vAlign w:val="center"/>
          </w:tcPr>
          <w:p w14:paraId="3C856FC8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25" w:type="dxa"/>
            <w:noWrap w:val="0"/>
            <w:vAlign w:val="center"/>
          </w:tcPr>
          <w:p w14:paraId="2D6A6D15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压力变送器</w:t>
            </w:r>
          </w:p>
        </w:tc>
        <w:tc>
          <w:tcPr>
            <w:tcW w:w="1434" w:type="dxa"/>
            <w:noWrap w:val="0"/>
            <w:vAlign w:val="center"/>
          </w:tcPr>
          <w:p w14:paraId="5AF267C0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1.6Mpa</w:t>
            </w:r>
          </w:p>
        </w:tc>
        <w:tc>
          <w:tcPr>
            <w:tcW w:w="1896" w:type="dxa"/>
            <w:noWrap w:val="0"/>
            <w:vAlign w:val="center"/>
          </w:tcPr>
          <w:p w14:paraId="078A1C7E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" w:type="dxa"/>
            <w:noWrap w:val="0"/>
            <w:vAlign w:val="center"/>
          </w:tcPr>
          <w:p w14:paraId="21CC5EBD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71" w:type="dxa"/>
            <w:noWrap w:val="0"/>
            <w:vAlign w:val="center"/>
          </w:tcPr>
          <w:p w14:paraId="13BE5468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支</w:t>
            </w:r>
          </w:p>
        </w:tc>
        <w:tc>
          <w:tcPr>
            <w:tcW w:w="3537" w:type="dxa"/>
            <w:noWrap w:val="0"/>
            <w:vAlign w:val="center"/>
          </w:tcPr>
          <w:p w14:paraId="27F88344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丹弗斯</w:t>
            </w:r>
          </w:p>
        </w:tc>
      </w:tr>
      <w:tr w14:paraId="68445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02" w:type="dxa"/>
            <w:noWrap w:val="0"/>
            <w:vAlign w:val="center"/>
          </w:tcPr>
          <w:p w14:paraId="0D1644D6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825" w:type="dxa"/>
            <w:noWrap w:val="0"/>
            <w:vAlign w:val="center"/>
          </w:tcPr>
          <w:p w14:paraId="41671A8B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超压保护</w:t>
            </w:r>
          </w:p>
        </w:tc>
        <w:tc>
          <w:tcPr>
            <w:tcW w:w="1434" w:type="dxa"/>
            <w:noWrap w:val="0"/>
            <w:vAlign w:val="center"/>
          </w:tcPr>
          <w:p w14:paraId="153DCDB1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1.6Mpa</w:t>
            </w:r>
          </w:p>
        </w:tc>
        <w:tc>
          <w:tcPr>
            <w:tcW w:w="1896" w:type="dxa"/>
            <w:noWrap w:val="0"/>
            <w:vAlign w:val="center"/>
          </w:tcPr>
          <w:p w14:paraId="4170B039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" w:type="dxa"/>
            <w:noWrap w:val="0"/>
            <w:vAlign w:val="center"/>
          </w:tcPr>
          <w:p w14:paraId="21842620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71" w:type="dxa"/>
            <w:noWrap w:val="0"/>
            <w:vAlign w:val="center"/>
          </w:tcPr>
          <w:p w14:paraId="4934496A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只</w:t>
            </w:r>
          </w:p>
        </w:tc>
        <w:tc>
          <w:tcPr>
            <w:tcW w:w="3537" w:type="dxa"/>
            <w:noWrap w:val="0"/>
            <w:vAlign w:val="center"/>
          </w:tcPr>
          <w:p w14:paraId="3525454B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B11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02" w:type="dxa"/>
            <w:noWrap w:val="0"/>
            <w:vAlign w:val="center"/>
          </w:tcPr>
          <w:p w14:paraId="1DD0CE8A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25" w:type="dxa"/>
            <w:noWrap w:val="0"/>
            <w:vAlign w:val="center"/>
          </w:tcPr>
          <w:p w14:paraId="3D302467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零散辅材</w:t>
            </w:r>
          </w:p>
        </w:tc>
        <w:tc>
          <w:tcPr>
            <w:tcW w:w="1434" w:type="dxa"/>
            <w:noWrap w:val="0"/>
            <w:vAlign w:val="center"/>
          </w:tcPr>
          <w:p w14:paraId="3D74B0B4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34932068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" w:type="dxa"/>
            <w:noWrap w:val="0"/>
            <w:vAlign w:val="center"/>
          </w:tcPr>
          <w:p w14:paraId="49007269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71" w:type="dxa"/>
            <w:noWrap w:val="0"/>
            <w:vAlign w:val="center"/>
          </w:tcPr>
          <w:p w14:paraId="7FFF0E27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批</w:t>
            </w:r>
          </w:p>
        </w:tc>
        <w:tc>
          <w:tcPr>
            <w:tcW w:w="3537" w:type="dxa"/>
            <w:noWrap w:val="0"/>
            <w:vAlign w:val="center"/>
          </w:tcPr>
          <w:p w14:paraId="1A8B5EDC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包含但不限于槽钢底座，电工胶布，扎带，膨胀丝，套管等</w:t>
            </w:r>
          </w:p>
        </w:tc>
      </w:tr>
    </w:tbl>
    <w:p w14:paraId="22CBEDE2"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推荐品牌: 上海丹泉、上海晨菲、上海连驭、上海宁馨</w:t>
      </w:r>
    </w:p>
    <w:p w14:paraId="10FDC0DC">
      <w:pPr>
        <w:numPr>
          <w:ilvl w:val="0"/>
          <w:numId w:val="0"/>
        </w:numPr>
        <w:ind w:left="0" w:leftChars="0" w:firstLine="640" w:firstLineChars="200"/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三、供货要求</w:t>
      </w:r>
    </w:p>
    <w:p w14:paraId="75000FE2">
      <w:pPr>
        <w:numPr>
          <w:ilvl w:val="0"/>
          <w:numId w:val="0"/>
        </w:numPr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1.中标人提供的货物（含配件）应是全新的、未使用过的合格正品，并保证所提供货物的开箱合格率为 100%，外观和内在质量都不得有任何问题，生产日期为合同生效前1年以内。提供的产品应根据国家标准和规范进行设计和制造，并遵循询价文件的要求，其产品的质量性能、技术指标和使用功能应达到或优于采购要求，在7*24小时下全年连续工作，整体设计和软硬件配备全新的原厂产品。 </w:t>
      </w:r>
    </w:p>
    <w:p w14:paraId="62CE1087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.合同设备经过按时、正确安装、合理操作和维护保养，在设备质保期内运转良好。在规定的质保期内，中标人应对由于非人为因素的缺陷或故障负责。货物运抵现场后应完好无损，如有缺漏、损坏，由中标人负责调换、补齐或赔偿。 </w:t>
      </w:r>
    </w:p>
    <w:p w14:paraId="77A54094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所提供的技术资料（含软件）完整正确，数据和资料准确无误，能够保证设备按时正确地安装、调试和验收，并能满足正常运行和维修保养的需要。在未验收前，货物保管、安全均由中标人负责，货物送到采购人指定地点，并负责办理运输和装卸。</w:t>
      </w:r>
    </w:p>
    <w:p w14:paraId="3E92A179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四、安装调试要求</w:t>
      </w:r>
    </w:p>
    <w:p w14:paraId="5709928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中标人</w:t>
      </w:r>
      <w:r>
        <w:rPr>
          <w:rFonts w:hint="eastAsia" w:ascii="仿宋_GB2312" w:hAnsi="仿宋_GB2312" w:eastAsia="仿宋_GB2312" w:cs="仿宋_GB2312"/>
          <w:sz w:val="32"/>
          <w:szCs w:val="32"/>
        </w:rPr>
        <w:t>免费送货至采购人指定地点，免费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移除采购人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指定旧柜体（1台）并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安装、调试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维护新柜体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，安装应符合国家、行业相关标准及规范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保证新装控制系统与原控制系统相互独立运行、维修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。 </w:t>
      </w:r>
    </w:p>
    <w:p w14:paraId="7870E1E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2.签订合同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后10天内安装调试完成，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安装调试时间为每天夜间11点以后，避免影响学校师生用水。</w:t>
      </w:r>
    </w:p>
    <w:p w14:paraId="60D48EF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中标人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免费为采购人提供产品操作、维修、日常养护等方面的培训，确保采购方使用人员能独立操作使用，培训人数、时间、地点等由采购人指定。 </w:t>
      </w:r>
    </w:p>
    <w:p w14:paraId="15FF271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中标人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须遵守校园出入规定，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自备人员及完成全部内容的工具、耗材及车辆，如有大型机械需提前报备。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在供货、安装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调试、维护维修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过程中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中标人全部人员的人身安全及财产安全均有中标人负责，如发生的纠纷或事故，由中标人承担全部责任及法律追责，如损坏采购人的设施，需照价赔偿。</w:t>
      </w:r>
    </w:p>
    <w:p w14:paraId="03B9FE8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5.中标人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安装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及维护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过程中产生的垃圾，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中标人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需自行清理至校外。</w:t>
      </w:r>
    </w:p>
    <w:p w14:paraId="723AA1C4">
      <w:pPr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五、质量规范要求</w:t>
      </w:r>
    </w:p>
    <w:p w14:paraId="0795376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本项目适用的技术标准及规范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包括但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不限于：</w:t>
      </w:r>
    </w:p>
    <w:p w14:paraId="18E773A8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1.《二次供水工程技术规程》（CJJ 140-2010）</w:t>
      </w:r>
    </w:p>
    <w:p w14:paraId="2946C029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2.《电工术语自动控制》（GBT 2900.56-2002）</w:t>
      </w:r>
    </w:p>
    <w:p w14:paraId="0E76D506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 《自动化仪表工程施工和质量验收规范》（GB50093）；</w:t>
      </w:r>
    </w:p>
    <w:p w14:paraId="6F4EA15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.《自动化系统与集成对象过程方法》（GB/T 39470-2020）；</w:t>
      </w:r>
    </w:p>
    <w:p w14:paraId="4F68094C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 《工业自动化产品安全要求》（GB30439）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 w14:paraId="1183AC64">
      <w:pPr>
        <w:ind w:firstLine="640" w:firstLineChars="200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六、</w:t>
      </w:r>
      <w: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t> 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质保及售后服务要求</w:t>
      </w:r>
    </w:p>
    <w:p w14:paraId="4DD9D0B8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全设备、配件及调试，质保期3年，自设备验收合格之日起；</w:t>
      </w:r>
    </w:p>
    <w:p w14:paraId="68F3F4F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质保期内非人为因素原因导致无法正常运行，中标人应无偿负责修复或更换，3天内无法修复的应立即更换相关设备及配件，维修、更换期间需切换并确保原加压供水控制系统（备用系统）正常运行（如备用系统也故障，中标人免费提供维修服务，采购人仅提供维修所需材料费），不得影响采购人的用水。</w:t>
      </w:r>
    </w:p>
    <w:p w14:paraId="3A59F576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质保期内设备出现故障中标人应在1小时内到达现场进行检查，2小时内作出让采购人满意的答复和处理，4小时内需保证供水正常运转，否则由此造成的损失由中标人承担。</w:t>
      </w:r>
    </w:p>
    <w:p w14:paraId="4C96724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4.质保期内，中标人免费安排专业人员每季度维保至少1次，并提供维保记录。</w:t>
      </w:r>
    </w:p>
    <w:p w14:paraId="33B7F9C8">
      <w:pPr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七、验收标准</w:t>
      </w:r>
    </w:p>
    <w:p w14:paraId="283DA218">
      <w:pPr>
        <w:ind w:firstLine="640" w:firstLineChars="200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满足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国家、地方及行业有关质量验收规范要求及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采购人项目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要求，质量合格并通过验收。质量未达到此标准时，一切返工费用及经济损失均由中标人承担。</w:t>
      </w:r>
    </w:p>
    <w:p w14:paraId="49AA8C87">
      <w:pPr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八、付款方式</w:t>
      </w:r>
    </w:p>
    <w:p w14:paraId="16AC6550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经学校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验收合格通过后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一次性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付至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合同价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100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%。</w:t>
      </w:r>
    </w:p>
    <w:p w14:paraId="5C6B2E90"/>
    <w:p w14:paraId="4DDABDBA"/>
    <w:p w14:paraId="7051D158">
      <w:bookmarkStart w:id="0" w:name="_GoBack"/>
      <w:bookmarkEnd w:id="0"/>
    </w:p>
    <w:sectPr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B5528"/>
    <w:rsid w:val="2A1B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2024-12-03T09:21:00Z</dcterms:created>
  <dc:creator>刺芯</dc:creator>
  <cp:lastModifiedBy>刺芯</cp:lastModifiedBy>
  <dcterms:modified xsi:type="dcterms:W3CDTF">2024-12-03T09:21:55Z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A76CC6E38FCE477886B1BA83B4A679DD_11</vt:lpwstr>
  </property>
</Properties>
</file>