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602CA">
      <w:pPr>
        <w:ind w:firstLine="880" w:firstLineChars="200"/>
        <w:jc w:val="center"/>
        <w:rPr>
          <w:rFonts w:hint="eastAsia" w:ascii="宋体" w:eastAsia="宋体"/>
          <w:color w:val="000000"/>
          <w:sz w:val="44"/>
          <w:szCs w:val="44"/>
        </w:rPr>
      </w:pPr>
      <w:r>
        <w:rPr>
          <w:rFonts w:hint="eastAsia" w:ascii="宋体" w:eastAsia="宋体"/>
          <w:color w:val="000000"/>
          <w:sz w:val="44"/>
          <w:szCs w:val="44"/>
        </w:rPr>
        <w:t>连云港师范高等专科学校</w:t>
      </w:r>
    </w:p>
    <w:p w14:paraId="75A9460D">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14:paraId="6548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31D6B977">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14:paraId="14F20E5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Chars="0" w:right="0" w:rightChars="0"/>
              <w:jc w:val="center"/>
              <w:textAlignment w:val="auto"/>
              <w:rPr>
                <w:rFonts w:hint="eastAsia" w:hAnsi="宋体"/>
                <w:sz w:val="28"/>
                <w:szCs w:val="28"/>
                <w:lang w:eastAsia="zh-CN"/>
              </w:rPr>
            </w:pPr>
            <w:r>
              <w:rPr>
                <w:rFonts w:hint="eastAsia" w:ascii="宋体" w:hAnsi="宋体" w:eastAsia="宋体" w:cs="宋体"/>
                <w:sz w:val="28"/>
                <w:szCs w:val="28"/>
                <w:lang w:eastAsia="zh-CN"/>
              </w:rPr>
              <w:t>LSZHQ20240018</w:t>
            </w:r>
          </w:p>
        </w:tc>
        <w:tc>
          <w:tcPr>
            <w:tcW w:w="1489" w:type="dxa"/>
            <w:noWrap w:val="0"/>
            <w:vAlign w:val="center"/>
          </w:tcPr>
          <w:p w14:paraId="0939882F">
            <w:pPr>
              <w:pStyle w:val="2"/>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14:paraId="4A2430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ascii="Times New Roman" w:hAnsi="Times New Roman" w:cs="Times New Roman"/>
                <w:sz w:val="28"/>
                <w:szCs w:val="28"/>
                <w:lang w:val="en-US" w:eastAsia="zh-CN"/>
              </w:rPr>
              <w:t>新增供水控制系统</w:t>
            </w:r>
            <w:r>
              <w:rPr>
                <w:rFonts w:hint="default" w:ascii="Times New Roman" w:hAnsi="Times New Roman" w:eastAsia="宋体" w:cs="Times New Roman"/>
                <w:sz w:val="28"/>
                <w:szCs w:val="28"/>
                <w:lang w:val="en-US" w:eastAsia="zh-CN"/>
              </w:rPr>
              <w:t>项目</w:t>
            </w:r>
          </w:p>
        </w:tc>
      </w:tr>
      <w:tr w14:paraId="6BDA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3BCDA17D">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14:paraId="2A1B6083">
            <w:pPr>
              <w:pStyle w:val="2"/>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14:paraId="00FF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48C376D3">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14:paraId="7CA480DF">
            <w:pPr>
              <w:jc w:val="center"/>
              <w:rPr>
                <w:rFonts w:hint="eastAsia" w:ascii="宋体" w:eastAsia="宋体"/>
                <w:color w:val="000000"/>
                <w:sz w:val="28"/>
                <w:szCs w:val="28"/>
              </w:rPr>
            </w:pPr>
          </w:p>
        </w:tc>
      </w:tr>
      <w:tr w14:paraId="009F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4C1612A2">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14:paraId="5875D1DA">
            <w:pPr>
              <w:jc w:val="center"/>
              <w:rPr>
                <w:rFonts w:hint="eastAsia" w:ascii="宋体" w:eastAsia="宋体"/>
                <w:color w:val="000000"/>
                <w:sz w:val="28"/>
                <w:szCs w:val="28"/>
                <w:lang w:eastAsia="zh-CN"/>
              </w:rPr>
            </w:pPr>
          </w:p>
        </w:tc>
        <w:tc>
          <w:tcPr>
            <w:tcW w:w="1489" w:type="dxa"/>
            <w:noWrap w:val="0"/>
            <w:vAlign w:val="center"/>
          </w:tcPr>
          <w:p w14:paraId="0F9C7989">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14:paraId="69F9FDDF">
            <w:pPr>
              <w:jc w:val="center"/>
              <w:rPr>
                <w:rFonts w:hint="eastAsia" w:ascii="宋体" w:eastAsia="宋体"/>
                <w:color w:val="000000"/>
                <w:sz w:val="28"/>
                <w:szCs w:val="28"/>
                <w:lang w:eastAsia="zh-CN"/>
              </w:rPr>
            </w:pPr>
          </w:p>
        </w:tc>
      </w:tr>
      <w:tr w14:paraId="323D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14:paraId="602124F2">
            <w:pPr>
              <w:pStyle w:val="2"/>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14:paraId="071444B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pPr>
            <w:r>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t>1.需求清单：见附件。</w:t>
            </w:r>
          </w:p>
          <w:p w14:paraId="60532FB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Theme="minorEastAsia" w:hAnsiTheme="minorEastAsia" w:eastAsiaTheme="minorEastAsia" w:cstheme="minorEastAsia"/>
                <w:i w:val="0"/>
                <w:iCs w:val="0"/>
                <w:caps w:val="0"/>
                <w:color w:val="333333"/>
                <w:spacing w:val="0"/>
                <w:sz w:val="18"/>
                <w:szCs w:val="18"/>
              </w:rPr>
            </w:pPr>
            <w:r>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t>2.承包方式：包工包料包售后。</w:t>
            </w:r>
          </w:p>
          <w:p w14:paraId="223156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Theme="minorEastAsia" w:hAnsiTheme="minorEastAsia" w:eastAsiaTheme="minorEastAsia" w:cstheme="minorEastAsia"/>
                <w:i w:val="0"/>
                <w:iCs w:val="0"/>
                <w:caps w:val="0"/>
                <w:color w:val="333333"/>
                <w:spacing w:val="0"/>
                <w:sz w:val="18"/>
                <w:szCs w:val="18"/>
              </w:rPr>
            </w:pPr>
            <w:r>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t>3.人员要求：</w:t>
            </w:r>
          </w:p>
          <w:p w14:paraId="3000FD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Theme="minorEastAsia" w:hAnsiTheme="minorEastAsia" w:eastAsiaTheme="minorEastAsia" w:cstheme="minorEastAsia"/>
                <w:i w:val="0"/>
                <w:iCs w:val="0"/>
                <w:caps w:val="0"/>
                <w:color w:val="333333"/>
                <w:spacing w:val="0"/>
                <w:sz w:val="18"/>
                <w:szCs w:val="18"/>
              </w:rPr>
            </w:pPr>
            <w:r>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t>（1）服务配置：自备人员及完成全部内容的工具、耗材及车辆，如有大型机械需提前报备。   </w:t>
            </w:r>
          </w:p>
          <w:p w14:paraId="341AC7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Theme="minorEastAsia" w:hAnsiTheme="minorEastAsia" w:eastAsiaTheme="minorEastAsia" w:cstheme="minorEastAsia"/>
                <w:i w:val="0"/>
                <w:iCs w:val="0"/>
                <w:caps w:val="0"/>
                <w:color w:val="333333"/>
                <w:spacing w:val="0"/>
                <w:sz w:val="18"/>
                <w:szCs w:val="18"/>
              </w:rPr>
            </w:pPr>
            <w:r>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t>（2）人员安全：中标人全部人员的人身安全及财产安全均有中标人负责，如发生的纠纷或事故，由中标人承担全部责任及法律追责，如损坏采购人的设施，需照价赔偿。</w:t>
            </w:r>
          </w:p>
          <w:p w14:paraId="6894D0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Theme="minorEastAsia" w:hAnsiTheme="minorEastAsia" w:eastAsiaTheme="minorEastAsia" w:cstheme="minorEastAsia"/>
                <w:i w:val="0"/>
                <w:iCs w:val="0"/>
                <w:caps w:val="0"/>
                <w:color w:val="333333"/>
                <w:spacing w:val="0"/>
                <w:sz w:val="18"/>
                <w:szCs w:val="18"/>
                <w:highlight w:val="none"/>
                <w:lang w:val="en-US"/>
              </w:rPr>
            </w:pPr>
            <w:r>
              <w:rPr>
                <w:rFonts w:hint="eastAsia" w:asciiTheme="minorEastAsia" w:hAnsiTheme="minorEastAsia" w:eastAsiaTheme="minorEastAsia" w:cstheme="minorEastAsia"/>
                <w:i w:val="0"/>
                <w:iCs w:val="0"/>
                <w:caps w:val="0"/>
                <w:color w:val="333333"/>
                <w:spacing w:val="0"/>
                <w:kern w:val="0"/>
                <w:sz w:val="18"/>
                <w:szCs w:val="18"/>
                <w:highlight w:val="none"/>
                <w:shd w:val="clear" w:color="auto" w:fill="FFFFFF"/>
                <w:lang w:val="en-US" w:eastAsia="zh-CN" w:bidi="ar"/>
              </w:rPr>
              <w:t>4.工</w:t>
            </w:r>
            <w:r>
              <w:rPr>
                <w:rFonts w:hint="eastAsia" w:asciiTheme="minorEastAsia" w:hAnsiTheme="minorEastAsia" w:eastAsiaTheme="minorEastAsia" w:cstheme="minorEastAsia"/>
                <w:i w:val="0"/>
                <w:iCs w:val="0"/>
                <w:caps w:val="0"/>
                <w:color w:val="333333"/>
                <w:spacing w:val="0"/>
                <w:sz w:val="18"/>
                <w:szCs w:val="18"/>
                <w:highlight w:val="none"/>
                <w:lang w:val="en-US" w:eastAsia="zh-CN"/>
              </w:rPr>
              <w:t>期：</w:t>
            </w:r>
            <w:r>
              <w:rPr>
                <w:rFonts w:hint="default" w:asciiTheme="minorEastAsia" w:hAnsiTheme="minorEastAsia" w:eastAsiaTheme="minorEastAsia" w:cstheme="minorEastAsia"/>
                <w:i w:val="0"/>
                <w:iCs w:val="0"/>
                <w:caps w:val="0"/>
                <w:color w:val="333333"/>
                <w:spacing w:val="0"/>
                <w:sz w:val="18"/>
                <w:szCs w:val="18"/>
                <w:highlight w:val="none"/>
                <w:lang w:val="en-US" w:eastAsia="zh-CN"/>
              </w:rPr>
              <w:t>1</w:t>
            </w:r>
            <w:r>
              <w:rPr>
                <w:rFonts w:hint="eastAsia" w:asciiTheme="minorEastAsia" w:hAnsiTheme="minorEastAsia" w:eastAsiaTheme="minorEastAsia" w:cstheme="minorEastAsia"/>
                <w:i w:val="0"/>
                <w:iCs w:val="0"/>
                <w:caps w:val="0"/>
                <w:color w:val="333333"/>
                <w:spacing w:val="0"/>
                <w:sz w:val="18"/>
                <w:szCs w:val="18"/>
                <w:highlight w:val="none"/>
                <w:lang w:val="en-US" w:eastAsia="zh-CN"/>
              </w:rPr>
              <w:t>0</w:t>
            </w:r>
            <w:r>
              <w:rPr>
                <w:rFonts w:hint="default" w:asciiTheme="minorEastAsia" w:hAnsiTheme="minorEastAsia" w:eastAsiaTheme="minorEastAsia" w:cstheme="minorEastAsia"/>
                <w:i w:val="0"/>
                <w:iCs w:val="0"/>
                <w:caps w:val="0"/>
                <w:color w:val="333333"/>
                <w:spacing w:val="0"/>
                <w:sz w:val="18"/>
                <w:szCs w:val="18"/>
                <w:highlight w:val="none"/>
                <w:lang w:val="en-US" w:eastAsia="zh-CN"/>
              </w:rPr>
              <w:t>天内完成 </w:t>
            </w:r>
          </w:p>
          <w:p w14:paraId="12A5F2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Theme="minorEastAsia" w:hAnsiTheme="minorEastAsia" w:eastAsiaTheme="minorEastAsia" w:cstheme="minorEastAsia"/>
                <w:i w:val="0"/>
                <w:iCs w:val="0"/>
                <w:caps w:val="0"/>
                <w:color w:val="333333"/>
                <w:spacing w:val="0"/>
                <w:kern w:val="0"/>
                <w:sz w:val="18"/>
                <w:szCs w:val="18"/>
                <w:highlight w:val="none"/>
                <w:shd w:val="clear" w:color="auto" w:fill="FFFFFF"/>
                <w:lang w:val="en-US" w:eastAsia="zh-CN" w:bidi="ar"/>
              </w:rPr>
            </w:pPr>
            <w:r>
              <w:rPr>
                <w:rFonts w:hint="eastAsia" w:asciiTheme="minorEastAsia" w:hAnsiTheme="minorEastAsia" w:eastAsiaTheme="minorEastAsia" w:cstheme="minorEastAsia"/>
                <w:i w:val="0"/>
                <w:iCs w:val="0"/>
                <w:caps w:val="0"/>
                <w:color w:val="333333"/>
                <w:spacing w:val="0"/>
                <w:kern w:val="0"/>
                <w:sz w:val="18"/>
                <w:szCs w:val="18"/>
                <w:highlight w:val="none"/>
                <w:shd w:val="clear" w:color="auto" w:fill="FFFFFF"/>
                <w:lang w:val="en-US" w:eastAsia="zh-CN" w:bidi="ar"/>
              </w:rPr>
              <w:t>5.验收标准:满足国家、地方及行业有关质量验收规范要求及采购人项目要求，质量合格并通过验收。质量未达到此标准时，一切返工费用及经济损失均由中标人承担。</w:t>
            </w:r>
          </w:p>
          <w:p w14:paraId="789311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pPr>
            <w:r>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t>6.质保期：3年。</w:t>
            </w:r>
          </w:p>
          <w:p w14:paraId="5F60623B">
            <w:pPr>
              <w:spacing w:line="240" w:lineRule="auto"/>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pPr>
            <w:r>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t>7.付款方式：经采购人验收合格通过后一次性付至合同价的100%。</w:t>
            </w:r>
          </w:p>
          <w:p w14:paraId="5553DDA9">
            <w:pPr>
              <w:keepNext w:val="0"/>
              <w:keepLines w:val="0"/>
              <w:pageBreakBefore w:val="0"/>
              <w:kinsoku/>
              <w:wordWrap/>
              <w:overflowPunct/>
              <w:topLinePunct w:val="0"/>
              <w:autoSpaceDE/>
              <w:autoSpaceDN/>
              <w:bidi w:val="0"/>
              <w:adjustRightInd/>
              <w:snapToGrid/>
              <w:spacing w:line="240" w:lineRule="auto"/>
              <w:textAlignment w:val="auto"/>
              <w:rPr>
                <w:rFonts w:hint="eastAsia" w:hAnsi="宋体" w:eastAsia="宋体"/>
                <w:szCs w:val="21"/>
                <w:lang w:val="en-US" w:eastAsia="zh-CN"/>
              </w:rPr>
            </w:pPr>
          </w:p>
        </w:tc>
      </w:tr>
      <w:tr w14:paraId="0248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14:paraId="14A97D65">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14:paraId="0F03C6E1">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14:paraId="08641162">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eastAsia="宋体"/>
                <w:b/>
                <w:bCs/>
                <w:color w:val="000000"/>
                <w:sz w:val="28"/>
                <w:szCs w:val="28"/>
                <w:u w:val="single"/>
                <w:lang w:val="en-US" w:eastAsia="zh-CN"/>
              </w:rPr>
              <w:t xml:space="preserve"> </w:t>
            </w:r>
            <w:r>
              <w:rPr>
                <w:rFonts w:hint="eastAsia" w:ascii="宋体"/>
                <w:b/>
                <w:bCs/>
                <w:color w:val="000000"/>
                <w:sz w:val="28"/>
                <w:szCs w:val="28"/>
                <w:u w:val="single"/>
                <w:lang w:val="en-US" w:eastAsia="zh-CN"/>
              </w:rPr>
              <w:t>30000</w:t>
            </w:r>
            <w:r>
              <w:rPr>
                <w:rFonts w:hint="eastAsia" w:ascii="宋体" w:eastAsia="宋体"/>
                <w:b/>
                <w:bCs/>
                <w:color w:val="000000"/>
                <w:sz w:val="28"/>
                <w:szCs w:val="28"/>
                <w:u w:val="single"/>
                <w:lang w:val="en-US" w:eastAsia="zh-CN"/>
              </w:rPr>
              <w:t xml:space="preserve"> </w:t>
            </w:r>
            <w:r>
              <w:rPr>
                <w:rFonts w:hint="eastAsia" w:ascii="宋体" w:eastAsia="宋体"/>
                <w:b/>
                <w:bCs/>
                <w:color w:val="000000"/>
                <w:sz w:val="28"/>
                <w:szCs w:val="28"/>
                <w:lang w:val="en-US" w:eastAsia="zh-CN"/>
              </w:rPr>
              <w:t>元。</w:t>
            </w:r>
          </w:p>
          <w:p w14:paraId="01D4894F">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14:paraId="522A20EE">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eastAsia="宋体" w:cs="宋体"/>
                <w:b/>
                <w:bCs/>
                <w:sz w:val="24"/>
                <w:szCs w:val="24"/>
              </w:rPr>
              <w:t>货物的报价</w:t>
            </w:r>
            <w:r>
              <w:rPr>
                <w:rFonts w:hint="eastAsia" w:ascii="宋体" w:eastAsia="宋体" w:cs="宋体"/>
                <w:b/>
                <w:bCs/>
                <w:sz w:val="24"/>
                <w:szCs w:val="24"/>
                <w:lang w:eastAsia="zh-CN"/>
              </w:rPr>
              <w:t>、人工安装</w:t>
            </w:r>
            <w:r>
              <w:rPr>
                <w:rFonts w:hint="eastAsia" w:ascii="宋体" w:cs="宋体"/>
                <w:b/>
                <w:bCs/>
                <w:sz w:val="24"/>
                <w:szCs w:val="24"/>
                <w:lang w:val="en-US" w:eastAsia="zh-CN"/>
              </w:rPr>
              <w:t>调试</w:t>
            </w:r>
            <w:r>
              <w:rPr>
                <w:rFonts w:hint="eastAsia" w:ascii="宋体" w:eastAsia="宋体" w:cs="宋体"/>
                <w:b/>
                <w:bCs/>
                <w:sz w:val="24"/>
                <w:szCs w:val="24"/>
                <w:lang w:eastAsia="zh-CN"/>
              </w:rPr>
              <w:t>费、</w:t>
            </w:r>
            <w:r>
              <w:rPr>
                <w:rFonts w:hint="eastAsia" w:ascii="宋体" w:hAnsi="宋体" w:eastAsia="宋体" w:cs="宋体"/>
                <w:b/>
                <w:bCs/>
                <w:sz w:val="24"/>
                <w:szCs w:val="24"/>
              </w:rPr>
              <w:t>标准附件、备品备件、专用工具、运输、装卸、验收合格所需的各种费用及必要的保险费用和各项税金等所有费用的总和。</w:t>
            </w:r>
          </w:p>
          <w:p w14:paraId="11095172">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14:paraId="1FB207FC">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14:paraId="63EB513C">
      <w:pPr>
        <w:jc w:val="right"/>
        <w:rPr>
          <w:rFonts w:hint="eastAsia"/>
        </w:rPr>
        <w:sectPr>
          <w:pgSz w:w="11906" w:h="16838"/>
          <w:pgMar w:top="720" w:right="720" w:bottom="720" w:left="720" w:header="851" w:footer="992" w:gutter="0"/>
          <w:cols w:space="720" w:num="1"/>
          <w:docGrid w:type="lines" w:linePitch="312" w:charSpace="0"/>
        </w:sectPr>
      </w:pPr>
      <w:r>
        <w:rPr>
          <w:rFonts w:hint="eastAsia"/>
        </w:rPr>
        <w:t>连云港师范高等专科学校</w:t>
      </w:r>
      <w:r>
        <w:rPr>
          <w:rFonts w:hint="eastAsia"/>
          <w:lang w:eastAsia="zh-CN"/>
        </w:rPr>
        <w:t>后勤与基建管理处</w:t>
      </w:r>
    </w:p>
    <w:p w14:paraId="4C2F32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C577F"/>
    <w:rsid w:val="3E8C5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2024-12-03T09:20:00Z</dcterms:created>
  <dc:creator>刺芯</dc:creator>
  <cp:lastModifiedBy>刺芯</cp:lastModifiedBy>
  <dcterms:modified xsi:type="dcterms:W3CDTF">2024-12-03T09:20:56Z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63FF5221A0E3446383596F31F4CB06AE_11</vt:lpwstr>
  </property>
</Properties>
</file>