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8"/>
          <w:tab w:val="center" w:pos="5733"/>
        </w:tabs>
        <w:jc w:val="left"/>
        <w:rPr>
          <w:rFonts w:hint="eastAsia" w:ascii="宋体"/>
          <w:color w:val="000000"/>
          <w:sz w:val="44"/>
          <w:szCs w:val="44"/>
          <w:lang w:eastAsia="zh-CN"/>
        </w:rPr>
      </w:pPr>
      <w:bookmarkStart w:id="0" w:name="_GoBack"/>
      <w:bookmarkEnd w:id="0"/>
      <w:r>
        <w:rPr>
          <w:rFonts w:hint="eastAsia" w:ascii="宋体"/>
          <w:color w:val="000000"/>
          <w:sz w:val="44"/>
          <w:szCs w:val="44"/>
          <w:lang w:eastAsia="zh-CN"/>
        </w:rPr>
        <w:t>附件</w:t>
      </w:r>
      <w:r>
        <w:rPr>
          <w:rFonts w:hint="eastAsia" w:ascii="宋体"/>
          <w:color w:val="000000"/>
          <w:sz w:val="44"/>
          <w:szCs w:val="44"/>
          <w:lang w:val="en-US" w:eastAsia="zh-CN"/>
        </w:rPr>
        <w:t>1：</w:t>
      </w:r>
      <w:r>
        <w:rPr>
          <w:rFonts w:hint="eastAsia" w:ascii="宋体"/>
          <w:color w:val="000000"/>
          <w:sz w:val="44"/>
          <w:szCs w:val="44"/>
          <w:lang w:eastAsia="zh-CN"/>
        </w:rPr>
        <w:tab/>
      </w:r>
    </w:p>
    <w:p>
      <w:pPr>
        <w:tabs>
          <w:tab w:val="left" w:pos="418"/>
          <w:tab w:val="center" w:pos="5733"/>
        </w:tabs>
        <w:ind w:firstLine="880" w:firstLineChars="200"/>
        <w:jc w:val="left"/>
        <w:rPr>
          <w:rFonts w:hint="eastAsia" w:ascii="宋体" w:eastAsia="宋体"/>
          <w:color w:val="000000"/>
          <w:sz w:val="44"/>
          <w:szCs w:val="44"/>
        </w:rPr>
      </w:pPr>
      <w:r>
        <w:rPr>
          <w:rFonts w:hint="eastAsia" w:ascii="宋体"/>
          <w:color w:val="000000"/>
          <w:sz w:val="44"/>
          <w:szCs w:val="44"/>
          <w:lang w:eastAsia="zh-CN"/>
        </w:rPr>
        <w:tab/>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adjustRightInd w:val="0"/>
              <w:snapToGrid w:val="0"/>
              <w:spacing w:line="360" w:lineRule="auto"/>
              <w:ind w:firstLine="560" w:firstLineChars="200"/>
              <w:jc w:val="center"/>
              <w:rPr>
                <w:rFonts w:hint="eastAsia" w:hAnsi="宋体"/>
                <w:sz w:val="28"/>
                <w:szCs w:val="28"/>
                <w:lang w:eastAsia="zh-CN"/>
              </w:rPr>
            </w:pPr>
            <w:r>
              <w:rPr>
                <w:rFonts w:hint="eastAsia" w:hAnsi="宋体"/>
                <w:sz w:val="28"/>
                <w:szCs w:val="28"/>
                <w:lang w:eastAsia="zh-CN"/>
              </w:rPr>
              <w:t>LSZHQ20230032</w:t>
            </w:r>
          </w:p>
        </w:tc>
        <w:tc>
          <w:tcPr>
            <w:tcW w:w="1489" w:type="dxa"/>
            <w:noWrap w:val="0"/>
            <w:vAlign w:val="center"/>
          </w:tcPr>
          <w:p>
            <w:pPr>
              <w:pStyle w:val="4"/>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hAnsi="宋体"/>
                <w:sz w:val="28"/>
                <w:szCs w:val="28"/>
                <w:lang w:eastAsia="zh-CN"/>
              </w:rPr>
              <w:t>凌云桥周边黄土裸露复绿项目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4"/>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4"/>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r>
              <w:rPr>
                <w:rFonts w:hint="eastAsia" w:ascii="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上门服务，包工包料</w:t>
            </w:r>
            <w:r>
              <w:rPr>
                <w:rFonts w:hint="eastAsia" w:ascii="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ascii="宋体" w:hAnsi="宋体" w:eastAsia="宋体" w:cs="宋体"/>
                <w:i w:val="0"/>
                <w:iCs w:val="0"/>
                <w:caps w:val="0"/>
                <w:color w:val="333333"/>
                <w:spacing w:val="0"/>
                <w:kern w:val="0"/>
                <w:sz w:val="18"/>
                <w:szCs w:val="1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w:t>
            </w:r>
            <w:r>
              <w:rPr>
                <w:rFonts w:hint="eastAsia" w:ascii="宋体" w:hAnsi="宋体" w:eastAsia="宋体" w:cs="宋体"/>
                <w:i w:val="0"/>
                <w:iCs w:val="0"/>
                <w:caps w:val="0"/>
                <w:color w:val="333333"/>
                <w:spacing w:val="0"/>
                <w:kern w:val="0"/>
                <w:sz w:val="18"/>
                <w:szCs w:val="18"/>
                <w:shd w:val="clear" w:color="auto" w:fill="FFFFFF"/>
                <w:lang w:val="en-US" w:eastAsia="zh-CN" w:bidi="ar"/>
              </w:rPr>
              <w:t>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4.合同期：</w:t>
            </w:r>
            <w:r>
              <w:rPr>
                <w:rFonts w:hint="eastAsia" w:ascii="宋体" w:hAnsi="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5.验收标准:符合项目要求详见附件2；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6.养护期：草坪、苗木养护</w:t>
            </w:r>
            <w:r>
              <w:rPr>
                <w:rFonts w:hint="eastAsia" w:ascii="宋体" w:hAnsi="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年，国庆菊养护3个月；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hAnsi="宋体" w:eastAsia="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w:t>
            </w:r>
            <w:r>
              <w:rPr>
                <w:rFonts w:hint="eastAsia" w:ascii="宋体" w:hAnsi="宋体" w:cs="宋体"/>
                <w:i w:val="0"/>
                <w:iCs w:val="0"/>
                <w:caps w:val="0"/>
                <w:color w:val="auto"/>
                <w:spacing w:val="0"/>
                <w:kern w:val="0"/>
                <w:sz w:val="18"/>
                <w:szCs w:val="18"/>
                <w:highlight w:val="none"/>
                <w:shd w:val="clear" w:color="auto" w:fill="FFFFFF"/>
                <w:lang w:val="en-US" w:eastAsia="zh-CN" w:bidi="ar"/>
              </w:rPr>
              <w:t>项目内容完成后，经验收合格付合同价的90%，养护期满，验收合格后一次性付清余款（无息）。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27390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施工</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w:t>
            </w:r>
            <w:r>
              <w:rPr>
                <w:rFonts w:hint="eastAsia" w:ascii="宋体" w:hAnsi="宋体" w:cs="宋体"/>
                <w:b/>
                <w:bCs/>
                <w:sz w:val="24"/>
                <w:szCs w:val="24"/>
                <w:lang w:val="en-US" w:eastAsia="zh-CN"/>
              </w:rPr>
              <w:t>杂费（含垃圾清运包处理）</w:t>
            </w:r>
            <w:r>
              <w:rPr>
                <w:rFonts w:hint="eastAsia" w:ascii="宋体" w:hAnsi="宋体" w:eastAsia="宋体" w:cs="宋体"/>
                <w:b/>
                <w:bCs/>
                <w:sz w:val="24"/>
                <w:szCs w:val="24"/>
              </w:rPr>
              <w:t>、装卸、</w:t>
            </w:r>
            <w:r>
              <w:rPr>
                <w:rFonts w:hint="eastAsia" w:ascii="宋体" w:hAnsi="宋体" w:cs="宋体"/>
                <w:b/>
                <w:bCs/>
                <w:sz w:val="24"/>
                <w:szCs w:val="24"/>
                <w:lang w:val="en-US" w:eastAsia="zh-CN"/>
              </w:rPr>
              <w:t>集成费和</w:t>
            </w:r>
            <w:r>
              <w:rPr>
                <w:rFonts w:hint="eastAsia" w:ascii="宋体" w:hAnsi="宋体" w:eastAsia="宋体" w:cs="宋体"/>
                <w:b/>
                <w:bCs/>
                <w:sz w:val="24"/>
                <w:szCs w:val="24"/>
              </w:rPr>
              <w:t>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r>
        <w:rPr>
          <w:rFonts w:hint="eastAsia"/>
        </w:rPr>
        <w:t>制</w:t>
      </w:r>
    </w:p>
    <w:p>
      <w:pPr>
        <w:jc w:val="left"/>
        <w:rPr>
          <w:rFonts w:hint="default" w:eastAsia="宋体"/>
          <w:lang w:val="en-US" w:eastAsia="zh-CN"/>
        </w:rPr>
      </w:pPr>
      <w:r>
        <w:rPr>
          <w:rFonts w:hint="eastAsia"/>
          <w:lang w:val="en-US" w:eastAsia="zh-CN"/>
        </w:rPr>
        <w:t xml:space="preserve">                                </w:t>
      </w:r>
      <w:r>
        <w:rPr>
          <w:rFonts w:hint="eastAsia"/>
          <w:sz w:val="44"/>
          <w:szCs w:val="44"/>
          <w:lang w:val="en-US" w:eastAsia="zh-CN"/>
        </w:rPr>
        <w:t>项目要求</w:t>
      </w:r>
    </w:p>
    <w:p>
      <w:pPr>
        <w:numPr>
          <w:ilvl w:val="0"/>
          <w:numId w:val="1"/>
        </w:numPr>
        <w:spacing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项目清单（15天内完成）</w:t>
      </w:r>
    </w:p>
    <w:p>
      <w:pPr>
        <w:numPr>
          <w:ilvl w:val="0"/>
          <w:numId w:val="2"/>
        </w:numPr>
        <w:spacing w:line="560" w:lineRule="exact"/>
        <w:ind w:left="-30" w:leftChars="0" w:firstLine="240" w:firstLineChars="0"/>
        <w:rPr>
          <w:rFonts w:hint="eastAsia" w:ascii="仿宋" w:hAnsi="仿宋" w:eastAsia="仿宋" w:cs="仿宋"/>
          <w:b w:val="0"/>
          <w:bCs/>
          <w:color w:val="auto"/>
          <w:sz w:val="24"/>
          <w:szCs w:val="24"/>
        </w:rPr>
      </w:pPr>
      <w:r>
        <w:rPr>
          <w:rFonts w:hint="eastAsia" w:ascii="仿宋" w:hAnsi="仿宋" w:eastAsia="仿宋" w:cs="仿宋"/>
          <w:b w:val="0"/>
          <w:bCs/>
          <w:color w:val="auto"/>
          <w:kern w:val="2"/>
          <w:sz w:val="24"/>
          <w:szCs w:val="24"/>
          <w:lang w:val="en-US" w:eastAsia="zh-CN" w:bidi="ar-SA"/>
        </w:rPr>
        <w:t>马尼拉草皮（</w:t>
      </w:r>
      <w:r>
        <w:rPr>
          <w:rFonts w:hint="eastAsia" w:ascii="仿宋" w:hAnsi="仿宋" w:eastAsia="仿宋" w:cs="仿宋"/>
          <w:b w:val="0"/>
          <w:bCs/>
          <w:color w:val="auto"/>
          <w:sz w:val="24"/>
          <w:szCs w:val="24"/>
          <w:lang w:val="en-US" w:eastAsia="zh-CN"/>
        </w:rPr>
        <w:t>草坪）铺设面积约为50平方米；</w:t>
      </w:r>
    </w:p>
    <w:p>
      <w:pPr>
        <w:numPr>
          <w:ilvl w:val="0"/>
          <w:numId w:val="2"/>
        </w:numPr>
        <w:spacing w:line="560" w:lineRule="exact"/>
        <w:ind w:left="-30" w:leftChars="0" w:firstLine="24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国庆菊</w:t>
      </w:r>
      <w:r>
        <w:rPr>
          <w:rFonts w:hint="eastAsia" w:ascii="仿宋" w:hAnsi="仿宋" w:eastAsia="仿宋" w:cs="仿宋"/>
          <w:b w:val="0"/>
          <w:bCs/>
          <w:color w:val="auto"/>
          <w:kern w:val="2"/>
          <w:sz w:val="24"/>
          <w:szCs w:val="24"/>
          <w:lang w:val="en-US" w:eastAsia="zh-CN" w:bidi="ar-SA"/>
        </w:rPr>
        <w:t>(18cm杯子）</w:t>
      </w:r>
      <w:r>
        <w:rPr>
          <w:rFonts w:hint="eastAsia" w:ascii="仿宋" w:hAnsi="仿宋" w:eastAsia="仿宋" w:cs="仿宋"/>
          <w:b w:val="0"/>
          <w:bCs/>
          <w:color w:val="auto"/>
          <w:sz w:val="24"/>
          <w:szCs w:val="24"/>
          <w:lang w:val="en-US" w:eastAsia="zh-CN"/>
        </w:rPr>
        <w:t xml:space="preserve">种植面积约为150平方米； </w:t>
      </w:r>
    </w:p>
    <w:p>
      <w:pPr>
        <w:numPr>
          <w:ilvl w:val="0"/>
          <w:numId w:val="2"/>
        </w:numPr>
        <w:spacing w:line="560" w:lineRule="exact"/>
        <w:ind w:left="-30" w:leftChars="0" w:firstLine="240" w:firstLineChars="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大叶黄杨球(高度80-90cm,蓬径80cm以上)6株</w:t>
      </w:r>
    </w:p>
    <w:p>
      <w:pPr>
        <w:numPr>
          <w:ilvl w:val="0"/>
          <w:numId w:val="2"/>
        </w:numPr>
        <w:spacing w:line="560" w:lineRule="exact"/>
        <w:ind w:left="-30" w:leftChars="0" w:firstLine="240" w:firstLineChars="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红叶石楠球(高度100-120cm,蓬径120cm以上)6株，</w:t>
      </w:r>
    </w:p>
    <w:p>
      <w:pPr>
        <w:numPr>
          <w:ilvl w:val="0"/>
          <w:numId w:val="2"/>
        </w:numPr>
        <w:spacing w:line="560" w:lineRule="exact"/>
        <w:ind w:left="-30" w:leftChars="0" w:firstLine="240" w:firstLineChars="0"/>
        <w:rPr>
          <w:rFonts w:hint="eastAsia" w:ascii="仿宋" w:hAnsi="仿宋" w:eastAsia="仿宋" w:cs="仿宋"/>
          <w:b w:val="0"/>
          <w:bCs/>
          <w:color w:val="auto"/>
          <w:kern w:val="2"/>
          <w:sz w:val="24"/>
          <w:szCs w:val="24"/>
          <w:lang w:val="en-US" w:eastAsia="zh-CN" w:bidi="ar-SA"/>
        </w:rPr>
      </w:pPr>
      <w:r>
        <w:rPr>
          <w:rFonts w:hint="default" w:ascii="仿宋" w:hAnsi="仿宋" w:eastAsia="仿宋" w:cs="仿宋"/>
          <w:b w:val="0"/>
          <w:bCs/>
          <w:color w:val="auto"/>
          <w:kern w:val="2"/>
          <w:sz w:val="24"/>
          <w:szCs w:val="24"/>
          <w:lang w:val="en-US" w:eastAsia="zh-CN" w:bidi="ar-SA"/>
        </w:rPr>
        <w:t>红叶石楠</w:t>
      </w:r>
      <w:r>
        <w:rPr>
          <w:rFonts w:hint="eastAsia" w:ascii="仿宋" w:hAnsi="仿宋" w:eastAsia="仿宋" w:cs="仿宋"/>
          <w:b w:val="0"/>
          <w:bCs/>
          <w:color w:val="auto"/>
          <w:kern w:val="2"/>
          <w:sz w:val="24"/>
          <w:szCs w:val="24"/>
          <w:lang w:val="en-US" w:eastAsia="zh-CN" w:bidi="ar-SA"/>
        </w:rPr>
        <w:t>（高度30-40cm多分枝）色带种植面积约为15平方米。</w:t>
      </w:r>
    </w:p>
    <w:p>
      <w:pPr>
        <w:numPr>
          <w:ilvl w:val="0"/>
          <w:numId w:val="2"/>
        </w:numPr>
        <w:spacing w:line="560" w:lineRule="exact"/>
        <w:ind w:left="-30" w:leftChars="0" w:firstLine="240" w:firstLineChars="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总面积215平方米内根据实际需要进行种植土换填（含平整场地），预估计50立方米；</w:t>
      </w:r>
    </w:p>
    <w:p>
      <w:pPr>
        <w:numPr>
          <w:ilvl w:val="0"/>
          <w:numId w:val="2"/>
        </w:numPr>
        <w:spacing w:line="560" w:lineRule="exact"/>
        <w:ind w:left="-30" w:leftChars="0" w:firstLine="240" w:firstLineChars="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清运包处理现场所有垃圾。</w:t>
      </w:r>
    </w:p>
    <w:p>
      <w:pPr>
        <w:numPr>
          <w:ilvl w:val="0"/>
          <w:numId w:val="1"/>
        </w:numPr>
        <w:spacing w:line="560" w:lineRule="exact"/>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项目要求</w:t>
      </w:r>
    </w:p>
    <w:p>
      <w:pPr>
        <w:numPr>
          <w:ilvl w:val="0"/>
          <w:numId w:val="3"/>
        </w:numPr>
        <w:spacing w:line="56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承包方式：上门服务，包工包料包售后；</w:t>
      </w:r>
    </w:p>
    <w:p>
      <w:pPr>
        <w:numPr>
          <w:ilvl w:val="0"/>
          <w:numId w:val="3"/>
        </w:numPr>
        <w:spacing w:line="56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项目报价为固定单价形式报价，按实际发生及采购人认可的工程量进行结算，结算依据：固定单价</w:t>
      </w:r>
      <w:r>
        <w:rPr>
          <w:rFonts w:hint="default" w:ascii="Arial" w:hAnsi="Arial" w:eastAsia="仿宋" w:cs="Arial"/>
          <w:b w:val="0"/>
          <w:bCs/>
          <w:color w:val="auto"/>
          <w:sz w:val="24"/>
          <w:szCs w:val="24"/>
          <w:lang w:val="en-US" w:eastAsia="zh-CN"/>
        </w:rPr>
        <w:t>×</w:t>
      </w:r>
      <w:r>
        <w:rPr>
          <w:rFonts w:hint="eastAsia" w:ascii="仿宋" w:hAnsi="仿宋" w:eastAsia="仿宋" w:cs="仿宋"/>
          <w:b w:val="0"/>
          <w:bCs/>
          <w:color w:val="auto"/>
          <w:sz w:val="24"/>
          <w:szCs w:val="24"/>
          <w:lang w:val="en-US" w:eastAsia="zh-CN"/>
        </w:rPr>
        <w:t>实际发生及采购人认可的工程量；</w:t>
      </w:r>
    </w:p>
    <w:p>
      <w:pPr>
        <w:numPr>
          <w:ilvl w:val="0"/>
          <w:numId w:val="3"/>
        </w:numPr>
        <w:spacing w:line="56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服务配置：自备人员及完成全部内容的工具、耗材及车辆，如有大型机械需提前报备。   </w:t>
      </w:r>
    </w:p>
    <w:p>
      <w:pPr>
        <w:numPr>
          <w:ilvl w:val="0"/>
          <w:numId w:val="3"/>
        </w:numPr>
        <w:spacing w:line="56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人员安全：中标人全部人员的人身安全及财产安全均有中标人负责，如发生的纠纷或事故，由中标人承担全部责任及法律追责，如损坏采购人的设施，需照价赔偿。</w:t>
      </w:r>
    </w:p>
    <w:p>
      <w:pPr>
        <w:numPr>
          <w:ilvl w:val="0"/>
          <w:numId w:val="3"/>
        </w:numPr>
        <w:spacing w:line="560" w:lineRule="exact"/>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绿植到场需经采购人确认品种、型号及数量后进行栽植，种植土及清运要求：</w:t>
      </w:r>
    </w:p>
    <w:p>
      <w:pPr>
        <w:numPr>
          <w:ilvl w:val="0"/>
          <w:numId w:val="4"/>
        </w:numPr>
        <w:spacing w:line="560" w:lineRule="exact"/>
        <w:ind w:firstLine="720" w:firstLineChars="3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草坪需保证</w:t>
      </w:r>
      <w:r>
        <w:rPr>
          <w:rFonts w:hint="eastAsia" w:ascii="仿宋" w:hAnsi="仿宋" w:eastAsia="仿宋" w:cs="仿宋"/>
          <w:b w:val="0"/>
          <w:bCs/>
          <w:color w:val="auto"/>
          <w:kern w:val="2"/>
          <w:sz w:val="24"/>
          <w:szCs w:val="24"/>
          <w:lang w:val="en-US" w:eastAsia="zh-CN" w:bidi="ar-SA"/>
        </w:rPr>
        <w:t>新铺草坪的草量达90%及以上</w:t>
      </w:r>
      <w:r>
        <w:rPr>
          <w:rFonts w:hint="eastAsia" w:ascii="仿宋" w:hAnsi="仿宋" w:eastAsia="仿宋" w:cs="仿宋"/>
          <w:b w:val="0"/>
          <w:bCs/>
          <w:color w:val="auto"/>
          <w:sz w:val="24"/>
          <w:szCs w:val="24"/>
          <w:lang w:val="en-US" w:eastAsia="zh-CN"/>
        </w:rPr>
        <w:t>；</w:t>
      </w:r>
    </w:p>
    <w:p>
      <w:pPr>
        <w:numPr>
          <w:ilvl w:val="0"/>
          <w:numId w:val="4"/>
        </w:numPr>
        <w:spacing w:line="560" w:lineRule="exact"/>
        <w:ind w:firstLine="720" w:firstLineChars="30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国庆菊</w:t>
      </w:r>
      <w:r>
        <w:rPr>
          <w:rFonts w:hint="eastAsia" w:ascii="仿宋" w:hAnsi="仿宋" w:eastAsia="仿宋" w:cs="仿宋"/>
          <w:b w:val="0"/>
          <w:bCs/>
          <w:color w:val="auto"/>
          <w:kern w:val="2"/>
          <w:sz w:val="24"/>
          <w:szCs w:val="24"/>
          <w:lang w:val="en-US" w:eastAsia="zh-CN" w:bidi="ar-SA"/>
        </w:rPr>
        <w:t>(18cm杯子）需两到三种相互搭配，达16株/平方米；</w:t>
      </w:r>
    </w:p>
    <w:p>
      <w:pPr>
        <w:numPr>
          <w:ilvl w:val="0"/>
          <w:numId w:val="4"/>
        </w:numPr>
        <w:spacing w:line="560" w:lineRule="exact"/>
        <w:ind w:firstLine="720" w:firstLineChars="30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大叶黄杨球6株：高度80-90cm,蓬径80cm以上；</w:t>
      </w:r>
    </w:p>
    <w:p>
      <w:pPr>
        <w:numPr>
          <w:ilvl w:val="0"/>
          <w:numId w:val="4"/>
        </w:numPr>
        <w:spacing w:line="560" w:lineRule="exact"/>
        <w:ind w:firstLine="720" w:firstLineChars="30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红叶石楠球6株：高度100-120cm,蓬径120cm以上；</w:t>
      </w:r>
    </w:p>
    <w:p>
      <w:pPr>
        <w:numPr>
          <w:ilvl w:val="0"/>
          <w:numId w:val="4"/>
        </w:numPr>
        <w:spacing w:line="560" w:lineRule="exact"/>
        <w:ind w:firstLine="720" w:firstLineChars="300"/>
        <w:rPr>
          <w:rFonts w:hint="eastAsia" w:ascii="仿宋" w:hAnsi="仿宋" w:eastAsia="仿宋" w:cs="仿宋"/>
          <w:b w:val="0"/>
          <w:bCs/>
          <w:color w:val="auto"/>
          <w:kern w:val="2"/>
          <w:sz w:val="24"/>
          <w:szCs w:val="24"/>
          <w:lang w:val="en-US" w:eastAsia="zh-CN" w:bidi="ar-SA"/>
        </w:rPr>
      </w:pPr>
      <w:r>
        <w:rPr>
          <w:rFonts w:hint="default" w:ascii="仿宋" w:hAnsi="仿宋" w:eastAsia="仿宋" w:cs="仿宋"/>
          <w:b w:val="0"/>
          <w:bCs/>
          <w:color w:val="auto"/>
          <w:kern w:val="2"/>
          <w:sz w:val="24"/>
          <w:szCs w:val="24"/>
          <w:lang w:val="en-US" w:eastAsia="zh-CN" w:bidi="ar-SA"/>
        </w:rPr>
        <w:t>红叶石楠</w:t>
      </w:r>
      <w:r>
        <w:rPr>
          <w:rFonts w:hint="eastAsia" w:ascii="仿宋" w:hAnsi="仿宋" w:eastAsia="仿宋" w:cs="仿宋"/>
          <w:b w:val="0"/>
          <w:bCs/>
          <w:color w:val="auto"/>
          <w:kern w:val="2"/>
          <w:sz w:val="24"/>
          <w:szCs w:val="24"/>
          <w:lang w:val="en-US" w:eastAsia="zh-CN" w:bidi="ar-SA"/>
        </w:rPr>
        <w:t>（高度30-40cm，多分枝）色带种植面积约为15平方米，达25株/平方米。</w:t>
      </w:r>
    </w:p>
    <w:p>
      <w:pPr>
        <w:numPr>
          <w:ilvl w:val="0"/>
          <w:numId w:val="4"/>
        </w:numPr>
        <w:spacing w:line="560" w:lineRule="exact"/>
        <w:ind w:firstLine="720" w:firstLineChars="3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种植土需</w:t>
      </w:r>
      <w:r>
        <w:rPr>
          <w:rFonts w:hint="eastAsia" w:ascii="仿宋" w:hAnsi="仿宋" w:eastAsia="仿宋" w:cs="仿宋"/>
          <w:b w:val="0"/>
          <w:bCs/>
          <w:color w:val="auto"/>
          <w:kern w:val="2"/>
          <w:sz w:val="24"/>
          <w:szCs w:val="24"/>
          <w:lang w:val="en-US" w:eastAsia="zh-CN" w:bidi="ar-SA"/>
        </w:rPr>
        <w:t>保证植物后期生长，</w:t>
      </w:r>
      <w:r>
        <w:rPr>
          <w:rFonts w:hint="eastAsia" w:ascii="仿宋" w:hAnsi="仿宋" w:eastAsia="仿宋" w:cs="仿宋"/>
          <w:b w:val="0"/>
          <w:bCs/>
          <w:color w:val="auto"/>
          <w:sz w:val="24"/>
          <w:szCs w:val="24"/>
          <w:lang w:val="en-US" w:eastAsia="zh-CN"/>
        </w:rPr>
        <w:t>如后期因为土质原因造成绿植死亡，需重新进行免费栽植或按采购人实际损失的金额进行赔付；</w:t>
      </w:r>
    </w:p>
    <w:p>
      <w:pPr>
        <w:numPr>
          <w:ilvl w:val="0"/>
          <w:numId w:val="4"/>
        </w:numPr>
        <w:spacing w:line="560" w:lineRule="exact"/>
        <w:ind w:firstLine="720" w:firstLineChars="3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kern w:val="2"/>
          <w:sz w:val="24"/>
          <w:szCs w:val="24"/>
          <w:lang w:val="en-US" w:eastAsia="zh-CN" w:bidi="ar-SA"/>
        </w:rPr>
        <w:t>现场所有垃圾（</w:t>
      </w:r>
      <w:r>
        <w:rPr>
          <w:rFonts w:hint="eastAsia" w:ascii="仿宋" w:hAnsi="仿宋" w:eastAsia="仿宋" w:cs="仿宋"/>
          <w:b w:val="0"/>
          <w:bCs/>
          <w:color w:val="auto"/>
          <w:sz w:val="24"/>
          <w:szCs w:val="24"/>
          <w:lang w:val="en-US" w:eastAsia="zh-CN"/>
        </w:rPr>
        <w:t>含自有部分）</w:t>
      </w:r>
      <w:r>
        <w:rPr>
          <w:rFonts w:hint="eastAsia" w:ascii="仿宋" w:hAnsi="仿宋" w:eastAsia="仿宋" w:cs="仿宋"/>
          <w:b w:val="0"/>
          <w:bCs/>
          <w:color w:val="auto"/>
          <w:kern w:val="2"/>
          <w:sz w:val="24"/>
          <w:szCs w:val="24"/>
          <w:lang w:val="en-US" w:eastAsia="zh-CN" w:bidi="ar-SA"/>
        </w:rPr>
        <w:t>并及时清运至校外包处理</w:t>
      </w:r>
      <w:r>
        <w:rPr>
          <w:rFonts w:hint="eastAsia" w:ascii="仿宋" w:hAnsi="仿宋" w:eastAsia="仿宋" w:cs="仿宋"/>
          <w:b w:val="0"/>
          <w:bCs/>
          <w:color w:val="auto"/>
          <w:sz w:val="24"/>
          <w:szCs w:val="24"/>
          <w:lang w:val="en-US" w:eastAsia="zh-CN"/>
        </w:rPr>
        <w:t>，做到工完、料净、场清，恢复因该项目原因损坏的绿化、校园环境与道路设施等。</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三、养护期及标准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1.绿化项目养护期：草坪、苗木养护一年，国庆菊养护3个月；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2.养护标准：江苏省园林植物三级养护，含基肥，满足成活率百分之百，如有绿植死亡，需免费进行更换或扣除绿植和养护费。</w:t>
      </w:r>
    </w:p>
    <w:p>
      <w:pPr>
        <w:pStyle w:val="2"/>
        <w:numPr>
          <w:ilvl w:val="0"/>
          <w:numId w:val="0"/>
        </w:numPr>
        <w:snapToGrid w:val="0"/>
        <w:spacing w:line="560" w:lineRule="exac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60C32"/>
    <w:multiLevelType w:val="singleLevel"/>
    <w:tmpl w:val="C5360C32"/>
    <w:lvl w:ilvl="0" w:tentative="0">
      <w:start w:val="1"/>
      <w:numFmt w:val="decimal"/>
      <w:suff w:val="nothing"/>
      <w:lvlText w:val="（%1）"/>
      <w:lvlJc w:val="left"/>
    </w:lvl>
  </w:abstractNum>
  <w:abstractNum w:abstractNumId="1">
    <w:nsid w:val="DEDF87E0"/>
    <w:multiLevelType w:val="singleLevel"/>
    <w:tmpl w:val="DEDF87E0"/>
    <w:lvl w:ilvl="0" w:tentative="0">
      <w:start w:val="1"/>
      <w:numFmt w:val="decimal"/>
      <w:lvlText w:val="%1."/>
      <w:lvlJc w:val="left"/>
      <w:pPr>
        <w:tabs>
          <w:tab w:val="left" w:pos="312"/>
        </w:tabs>
      </w:pPr>
    </w:lvl>
  </w:abstractNum>
  <w:abstractNum w:abstractNumId="2">
    <w:nsid w:val="063FF640"/>
    <w:multiLevelType w:val="singleLevel"/>
    <w:tmpl w:val="063FF640"/>
    <w:lvl w:ilvl="0" w:tentative="0">
      <w:start w:val="1"/>
      <w:numFmt w:val="decimal"/>
      <w:suff w:val="nothing"/>
      <w:lvlText w:val="%1）"/>
      <w:lvlJc w:val="left"/>
    </w:lvl>
  </w:abstractNum>
  <w:abstractNum w:abstractNumId="3">
    <w:nsid w:val="289F97F7"/>
    <w:multiLevelType w:val="singleLevel"/>
    <w:tmpl w:val="289F97F7"/>
    <w:lvl w:ilvl="0" w:tentative="0">
      <w:start w:val="1"/>
      <w:numFmt w:val="decimal"/>
      <w:suff w:val="nothing"/>
      <w:lvlText w:val="（%1）"/>
      <w:lvlJc w:val="left"/>
      <w:pPr>
        <w:ind w:left="-3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MTAyZTRiMzEyODg2MzIxY2YxMjBiNGM2Njk2YzkifQ=="/>
  </w:docVars>
  <w:rsids>
    <w:rsidRoot w:val="00000000"/>
    <w:rsid w:val="06D0486B"/>
    <w:rsid w:val="08422300"/>
    <w:rsid w:val="10584A8C"/>
    <w:rsid w:val="10B65B76"/>
    <w:rsid w:val="11082F58"/>
    <w:rsid w:val="12A72B1B"/>
    <w:rsid w:val="15AF3720"/>
    <w:rsid w:val="198B21AA"/>
    <w:rsid w:val="1B0571F8"/>
    <w:rsid w:val="27B40FD1"/>
    <w:rsid w:val="295F29EA"/>
    <w:rsid w:val="29A7551B"/>
    <w:rsid w:val="2A2D285E"/>
    <w:rsid w:val="319C46DB"/>
    <w:rsid w:val="36285813"/>
    <w:rsid w:val="3BC03336"/>
    <w:rsid w:val="3C4869A2"/>
    <w:rsid w:val="43E20674"/>
    <w:rsid w:val="46FC422F"/>
    <w:rsid w:val="5503051B"/>
    <w:rsid w:val="5A4D128B"/>
    <w:rsid w:val="64C218B8"/>
    <w:rsid w:val="6A564D83"/>
    <w:rsid w:val="6EE90259"/>
    <w:rsid w:val="712B46F0"/>
    <w:rsid w:val="7B9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jc w:val="left"/>
      <w:outlineLvl w:val="2"/>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eastAsia="宋体"/>
      <w:sz w:val="21"/>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2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1974</Words>
  <Characters>2164</Characters>
  <Lines>0</Lines>
  <Paragraphs>0</Paragraphs>
  <TotalTime>22</TotalTime>
  <ScaleCrop>false</ScaleCrop>
  <LinksUpToDate>false</LinksUpToDate>
  <CharactersWithSpaces>2420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Administrator</cp:lastModifiedBy>
  <dcterms:modified xsi:type="dcterms:W3CDTF">2023-09-22T02:18:47Z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6FE17D58E4CE427487AA65B509A04B43_13</vt:lpwstr>
  </property>
</Properties>
</file>