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LSZHQ20230037</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校园绿化小栅栏更换项目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送货上门，包安装包售后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3天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.验收标准:与原塑钢护栏</w:t>
            </w:r>
            <w:r>
              <w:rPr>
                <w:rFonts w:hint="eastAsia" w:ascii="宋体" w:hAnsi="宋体" w:cs="宋体"/>
                <w:i w:val="0"/>
                <w:iCs w:val="0"/>
                <w:caps w:val="0"/>
                <w:color w:val="333333"/>
                <w:spacing w:val="0"/>
                <w:kern w:val="0"/>
                <w:sz w:val="18"/>
                <w:szCs w:val="18"/>
                <w:shd w:val="clear" w:color="auto" w:fill="FFFFFF"/>
                <w:lang w:val="en-US" w:eastAsia="zh-CN" w:bidi="ar"/>
              </w:rPr>
              <w:t>无缝拼接，保证</w:t>
            </w:r>
            <w:r>
              <w:rPr>
                <w:rFonts w:hint="eastAsia" w:ascii="宋体" w:hAnsi="宋体" w:eastAsia="宋体" w:cs="宋体"/>
                <w:i w:val="0"/>
                <w:iCs w:val="0"/>
                <w:caps w:val="0"/>
                <w:color w:val="333333"/>
                <w:spacing w:val="0"/>
                <w:kern w:val="0"/>
                <w:sz w:val="18"/>
                <w:szCs w:val="18"/>
                <w:shd w:val="clear" w:color="auto" w:fill="FFFFFF"/>
                <w:lang w:val="en-US" w:eastAsia="zh-CN" w:bidi="ar"/>
              </w:rPr>
              <w:t>颜色、外形、品质、安装工艺保持一致</w:t>
            </w:r>
            <w:r>
              <w:rPr>
                <w:rFonts w:hint="eastAsia" w:ascii="宋体" w:hAnsi="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宋体"/>
                <w:i w:val="0"/>
                <w:iCs w:val="0"/>
                <w:caps w:val="0"/>
                <w:color w:val="333333"/>
                <w:spacing w:val="0"/>
                <w:kern w:val="0"/>
                <w:sz w:val="18"/>
                <w:szCs w:val="18"/>
                <w:shd w:val="clear" w:color="auto" w:fill="FFFFFF"/>
                <w:lang w:val="en-US" w:eastAsia="zh-CN" w:bidi="ar"/>
              </w:rPr>
              <w:t>货到安装，验收合格后一次性付清全款。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4.5万</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55A9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2023-11-01T09:20:33Z</dcterms:created>
  <dc:creator>Administrator</dc:creator>
  <cp:lastModifiedBy>马东璠</cp:lastModifiedBy>
  <dcterms:modified xsi:type="dcterms:W3CDTF">2023-11-01T09:20:48Z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821C770DE11B45639771B6245C4BF18D_12</vt:lpwstr>
  </property>
</Properties>
</file>